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9F566" w14:textId="5D15F0BF" w:rsidR="008F5DC3" w:rsidRDefault="008F5DC3" w:rsidP="000E0FEC">
      <w:pPr>
        <w:ind w:left="2160" w:firstLine="720"/>
      </w:pPr>
      <w:r>
        <w:t>De Bilt</w:t>
      </w:r>
      <w:r w:rsidR="00D2031B">
        <w:t xml:space="preserve"> / Driebergen-Rijssenburg</w:t>
      </w:r>
      <w:r>
        <w:t>, 26 januari 2013</w:t>
      </w:r>
    </w:p>
    <w:p w14:paraId="7774A040" w14:textId="4C561E56" w:rsidR="00322D62" w:rsidRPr="002318BE" w:rsidRDefault="008F5DC3" w:rsidP="008F5DC3">
      <w:pPr>
        <w:ind w:left="2880"/>
      </w:pPr>
      <w:r w:rsidRPr="008F5DC3">
        <w:t xml:space="preserve">Onderwerp: Schriftelijke vragen ex art. 47 RvO aan het College van GS, gesteld door mevrouw A.M.C. Mineur van de SP </w:t>
      </w:r>
      <w:r>
        <w:t xml:space="preserve">en de heer W. Van Wikselaar van de SGP </w:t>
      </w:r>
      <w:r w:rsidRPr="008F5DC3">
        <w:t xml:space="preserve">over </w:t>
      </w:r>
      <w:r>
        <w:t>de u</w:t>
      </w:r>
      <w:r w:rsidR="002C1277">
        <w:t xml:space="preserve">itvoering </w:t>
      </w:r>
      <w:r>
        <w:t xml:space="preserve">van de </w:t>
      </w:r>
      <w:r w:rsidR="002318BE">
        <w:t>SP-motie “</w:t>
      </w:r>
      <w:r w:rsidR="002318BE" w:rsidRPr="002318BE">
        <w:t>SW-bedrijven werken, ook voor de provincie</w:t>
      </w:r>
      <w:r w:rsidR="002318BE">
        <w:t>”</w:t>
      </w:r>
    </w:p>
    <w:p w14:paraId="1ED6A183" w14:textId="77777777" w:rsidR="008F5DC3" w:rsidRDefault="008F5DC3" w:rsidP="008F5DC3"/>
    <w:p w14:paraId="73BE75B1" w14:textId="77777777" w:rsidR="008F5DC3" w:rsidRDefault="008F5DC3" w:rsidP="008F5DC3">
      <w:r>
        <w:t>Geacht college van Gedeputeerde Staten,</w:t>
      </w:r>
    </w:p>
    <w:p w14:paraId="1CEEE156" w14:textId="77777777" w:rsidR="008F5DC3" w:rsidRPr="000E0FEC" w:rsidRDefault="008F5DC3" w:rsidP="008F5DC3">
      <w:pPr>
        <w:rPr>
          <w:i/>
        </w:rPr>
      </w:pPr>
      <w:r w:rsidRPr="000E0FEC">
        <w:rPr>
          <w:i/>
        </w:rPr>
        <w:t>Toelichting:</w:t>
      </w:r>
    </w:p>
    <w:p w14:paraId="6527F9E1" w14:textId="19C52482" w:rsidR="0003550F" w:rsidRPr="00463771" w:rsidRDefault="00463771" w:rsidP="008F5DC3">
      <w:r w:rsidRPr="00463771">
        <w:t xml:space="preserve">Op </w:t>
      </w:r>
      <w:r>
        <w:t>27 juni 2011 diende de SP een motie in getiteld “SW-bedrijven werken, ook voor de provincie</w:t>
      </w:r>
      <w:r w:rsidR="005B4BDF">
        <w:t>”</w:t>
      </w:r>
      <w:r w:rsidR="00D2031B">
        <w:t xml:space="preserve"> (zie bijlage 1)</w:t>
      </w:r>
      <w:r>
        <w:t xml:space="preserve">. </w:t>
      </w:r>
      <w:r w:rsidR="0003550F">
        <w:t>Deze motie droeg het college op in contact te treden met de zes SW-bedrijven in de provincie over de mogelijk</w:t>
      </w:r>
      <w:r w:rsidR="000E0FEC">
        <w:softHyphen/>
        <w:t>heden en randvoor</w:t>
      </w:r>
      <w:r w:rsidR="0003550F">
        <w:t xml:space="preserve">waarden waaronder dezen werkzaamheden voor de provincie zouden kunnen uitvoeren. </w:t>
      </w:r>
      <w:r w:rsidR="00181B85">
        <w:t xml:space="preserve">Een lijst met contactadressen en een overzicht van de mogelijke werkzaamheden was bijgevoegd. </w:t>
      </w:r>
      <w:r w:rsidR="0003550F">
        <w:t>Een inventarisatie van die werkzaamheden zou b</w:t>
      </w:r>
      <w:r w:rsidR="000E0FEC">
        <w:t>ij de programma</w:t>
      </w:r>
      <w:r w:rsidR="0003550F">
        <w:t>begroting 2012 klaar moeten zijn.</w:t>
      </w:r>
      <w:r w:rsidR="007712CB">
        <w:t xml:space="preserve"> De motie werd </w:t>
      </w:r>
      <w:r w:rsidR="007712CB" w:rsidRPr="00410692">
        <w:rPr>
          <w:u w:val="single"/>
        </w:rPr>
        <w:t xml:space="preserve">met algemene stemmen </w:t>
      </w:r>
      <w:r w:rsidR="007712CB">
        <w:t>aanvaard.</w:t>
      </w:r>
    </w:p>
    <w:p w14:paraId="0F4D64E3" w14:textId="704F0A0B" w:rsidR="004A0537" w:rsidRDefault="007712CB" w:rsidP="000470E7">
      <w:r>
        <w:t xml:space="preserve">In de Najaarsrapportage </w:t>
      </w:r>
      <w:r w:rsidR="00410692">
        <w:t xml:space="preserve">2011 </w:t>
      </w:r>
      <w:r>
        <w:t>komt het college terug op deze motie</w:t>
      </w:r>
      <w:r w:rsidR="00D2031B">
        <w:t xml:space="preserve"> (zie bijlage 2)</w:t>
      </w:r>
      <w:r>
        <w:t>. De provincie zet SW-medewerkers in voor “</w:t>
      </w:r>
      <w:r w:rsidRPr="007712CB">
        <w:t>onderhoud van g</w:t>
      </w:r>
      <w:r>
        <w:t>roen</w:t>
      </w:r>
      <w:r w:rsidR="000E0FEC">
        <w:softHyphen/>
      </w:r>
      <w:r>
        <w:t>voorziening rondom het provin</w:t>
      </w:r>
      <w:r w:rsidRPr="007712CB">
        <w:t>ciehuis en v</w:t>
      </w:r>
      <w:r>
        <w:t>an een deel van provinciale we</w:t>
      </w:r>
      <w:r w:rsidRPr="007712CB">
        <w:t xml:space="preserve">gen </w:t>
      </w:r>
      <w:r>
        <w:t>alsmede bij facilitaire dienst</w:t>
      </w:r>
      <w:r w:rsidRPr="007712CB">
        <w:t>verlening</w:t>
      </w:r>
      <w:r>
        <w:t xml:space="preserve">”.  Overig werk bij de provincie leent zich niet </w:t>
      </w:r>
      <w:r w:rsidR="00410692">
        <w:t xml:space="preserve">goed </w:t>
      </w:r>
      <w:r>
        <w:t xml:space="preserve">voor inzet van SW-medewerkers, stelt het college, en daarom </w:t>
      </w:r>
      <w:r w:rsidR="000B1A1C">
        <w:t>experimenteert het met h</w:t>
      </w:r>
      <w:r w:rsidR="000E0FEC">
        <w:t>et landelijk initiatief betref</w:t>
      </w:r>
      <w:r w:rsidR="000B1A1C">
        <w:t xml:space="preserve">fende </w:t>
      </w:r>
      <w:r w:rsidR="000E0FEC" w:rsidRPr="000E0FEC">
        <w:rPr>
          <w:i/>
        </w:rPr>
        <w:t>Social Return</w:t>
      </w:r>
      <w:r w:rsidR="000E0FEC" w:rsidRPr="000E0FEC">
        <w:t xml:space="preserve"> bij aanbestedin</w:t>
      </w:r>
      <w:r w:rsidR="000B1A1C" w:rsidRPr="000E0FEC">
        <w:t>gen</w:t>
      </w:r>
      <w:r w:rsidR="000B1A1C">
        <w:t>.</w:t>
      </w:r>
      <w:r w:rsidR="003E4E22">
        <w:t xml:space="preserve"> Daarbij wordt bij aanbestedingen aan de</w:t>
      </w:r>
      <w:r w:rsidR="000E0FEC">
        <w:t xml:space="preserve"> leverancier gevraagd om een be</w:t>
      </w:r>
      <w:r w:rsidR="003E4E22">
        <w:t>paald percentage van het werk te laten ve</w:t>
      </w:r>
      <w:r w:rsidR="000E0FEC">
        <w:t>rrichten door mensen met een beper</w:t>
      </w:r>
      <w:r w:rsidR="003E4E22">
        <w:t xml:space="preserve">king. </w:t>
      </w:r>
      <w:r w:rsidR="003E4E22" w:rsidRPr="003E4E22">
        <w:t>Medio 2012 zal Gedeputeerde Staten een besluit nemen om a</w:t>
      </w:r>
      <w:r w:rsidR="003E4E22">
        <w:t>l dan niet over te gaan tot ver</w:t>
      </w:r>
      <w:r w:rsidR="003E4E22" w:rsidRPr="003E4E22">
        <w:t>dere implementatie van</w:t>
      </w:r>
      <w:r w:rsidR="000E0FEC">
        <w:t xml:space="preserve"> </w:t>
      </w:r>
      <w:r w:rsidR="000E0FEC" w:rsidRPr="000E0FEC">
        <w:rPr>
          <w:i/>
        </w:rPr>
        <w:t xml:space="preserve">Social Return </w:t>
      </w:r>
      <w:r w:rsidR="000E0FEC" w:rsidRPr="000E0FEC">
        <w:t>bij aanbeste</w:t>
      </w:r>
      <w:r w:rsidR="003E4E22" w:rsidRPr="000E0FEC">
        <w:t>dingen</w:t>
      </w:r>
      <w:r w:rsidR="003E4E22" w:rsidRPr="003E4E22">
        <w:t>.</w:t>
      </w:r>
      <w:r w:rsidR="003E4E22">
        <w:t xml:space="preserve"> </w:t>
      </w:r>
    </w:p>
    <w:p w14:paraId="65C38632" w14:textId="76C9F2FE" w:rsidR="002318BE" w:rsidRDefault="002C1277" w:rsidP="00165D01">
      <w:r>
        <w:t>Blijkbaar heeft het college besloten om niet over te gaan tot verdere imple</w:t>
      </w:r>
      <w:r w:rsidR="00410692">
        <w:softHyphen/>
      </w:r>
      <w:r>
        <w:t xml:space="preserve">mentatie van </w:t>
      </w:r>
      <w:r w:rsidRPr="000E0FEC">
        <w:rPr>
          <w:i/>
        </w:rPr>
        <w:t xml:space="preserve">Social Return </w:t>
      </w:r>
      <w:r>
        <w:t>bij aanbestedingen.</w:t>
      </w:r>
      <w:r w:rsidR="00E3069B">
        <w:t xml:space="preserve"> In de aanbestedingskalender </w:t>
      </w:r>
      <w:r w:rsidR="00410692">
        <w:t>staat althans een aanbesteding gedateerd 7 januari 2013</w:t>
      </w:r>
      <w:r w:rsidR="000E0FEC">
        <w:t xml:space="preserve"> </w:t>
      </w:r>
      <w:r w:rsidR="000E0FEC">
        <w:t>(zie bijlage 3)</w:t>
      </w:r>
      <w:r w:rsidR="00410692">
        <w:t xml:space="preserve">, </w:t>
      </w:r>
      <w:r w:rsidR="00055B21">
        <w:t>“</w:t>
      </w:r>
      <w:r w:rsidR="00165D01">
        <w:t>voor het gedurende 2 jaar onderhouden van bermen en watergangen langs provinciale wegen in de provincie Utrecht</w:t>
      </w:r>
      <w:r w:rsidR="00055B21">
        <w:t xml:space="preserve">”, zonder enige vermelding van een clausule voor </w:t>
      </w:r>
      <w:r w:rsidR="000E0FEC">
        <w:rPr>
          <w:i/>
          <w:lang w:val="en-GB"/>
        </w:rPr>
        <w:t>Social R</w:t>
      </w:r>
      <w:r w:rsidR="00055B21" w:rsidRPr="000E0FEC">
        <w:rPr>
          <w:i/>
          <w:lang w:val="en-GB"/>
        </w:rPr>
        <w:t>eturn</w:t>
      </w:r>
      <w:r w:rsidR="00165D01">
        <w:t>.</w:t>
      </w:r>
      <w:r w:rsidR="00410692">
        <w:t xml:space="preserve"> </w:t>
      </w:r>
      <w:r w:rsidR="00055B21">
        <w:t>Dit werk is bij uitstek geschikt voor inzet van SW-medewerkers. En hoewel de opdracht te groot is voor een</w:t>
      </w:r>
      <w:r w:rsidR="000E0FEC">
        <w:t xml:space="preserve"> enkel SW-bedrijf, zou een voor</w:t>
      </w:r>
      <w:r w:rsidR="00055B21">
        <w:t>waarde</w:t>
      </w:r>
      <w:r w:rsidR="000E0FEC">
        <w:t xml:space="preserve"> voor een leverancier om een be</w:t>
      </w:r>
      <w:r w:rsidR="00055B21">
        <w:t>paald percentage van het werk te laten ve</w:t>
      </w:r>
      <w:r w:rsidR="000E0FEC">
        <w:t>rrichten door mensen met een be</w:t>
      </w:r>
      <w:r w:rsidR="00055B21">
        <w:t>pe</w:t>
      </w:r>
      <w:r w:rsidR="000E0FEC">
        <w:t>rking uitstekend kunnen werken.</w:t>
      </w:r>
    </w:p>
    <w:p w14:paraId="3B9F3510" w14:textId="442B05DA" w:rsidR="002318BE" w:rsidRDefault="003E0B63" w:rsidP="000470E7">
      <w:r>
        <w:t>Voor de SP en de SGP is dat aanleiding voor de volgende vragen.</w:t>
      </w:r>
    </w:p>
    <w:p w14:paraId="2FC3136D" w14:textId="7800719F" w:rsidR="003E0B63" w:rsidRDefault="003E0B63" w:rsidP="003E0B63">
      <w:pPr>
        <w:pStyle w:val="Lijstalinea"/>
        <w:numPr>
          <w:ilvl w:val="0"/>
          <w:numId w:val="3"/>
        </w:numPr>
      </w:pPr>
      <w:r>
        <w:t>Heeft het college kennis genomen van de mogelijkheden en randvoor</w:t>
      </w:r>
      <w:r w:rsidR="000E0FEC">
        <w:softHyphen/>
      </w:r>
      <w:r>
        <w:t>waarden waaronder werkzaamheden voor de provincie door SW-bedrijven kunnen worden uitgevoerd?</w:t>
      </w:r>
    </w:p>
    <w:p w14:paraId="418C4BD8" w14:textId="56C3D1A9" w:rsidR="003E0B63" w:rsidRDefault="003E0B63" w:rsidP="003E0B63">
      <w:pPr>
        <w:pStyle w:val="Lijstalinea"/>
        <w:numPr>
          <w:ilvl w:val="0"/>
          <w:numId w:val="3"/>
        </w:numPr>
      </w:pPr>
      <w:r>
        <w:t xml:space="preserve">Heeft het </w:t>
      </w:r>
      <w:r w:rsidR="000E0FEC">
        <w:t xml:space="preserve">college </w:t>
      </w:r>
      <w:r>
        <w:t>een inventarisatie gemaakt van het soort van werk</w:t>
      </w:r>
      <w:r w:rsidR="000E0FEC">
        <w:softHyphen/>
      </w:r>
      <w:r>
        <w:t>zaamheden die kunnen worden ondergebracht bij SW-bedrijven?</w:t>
      </w:r>
    </w:p>
    <w:p w14:paraId="52FFB742" w14:textId="2204C854" w:rsidR="00181B85" w:rsidRDefault="00181B85" w:rsidP="00181B85">
      <w:pPr>
        <w:pStyle w:val="Lijstalinea"/>
        <w:numPr>
          <w:ilvl w:val="0"/>
          <w:numId w:val="3"/>
        </w:numPr>
      </w:pPr>
      <w:r>
        <w:lastRenderedPageBreak/>
        <w:t>Waarom heeft het college bij de aanbesteding geen rekening gehouden met de mogelijkheden en randvoorwaarden die SW-bedrijven bieden?</w:t>
      </w:r>
    </w:p>
    <w:p w14:paraId="0F5336B3" w14:textId="4CF789CC" w:rsidR="003E0B63" w:rsidRDefault="00181B85" w:rsidP="003E0B63">
      <w:pPr>
        <w:pStyle w:val="Lijstalinea"/>
        <w:numPr>
          <w:ilvl w:val="0"/>
          <w:numId w:val="3"/>
        </w:numPr>
      </w:pPr>
      <w:r>
        <w:t>Wat zijn de resultaten van h</w:t>
      </w:r>
      <w:r w:rsidR="000E0FEC">
        <w:t>et landelijk initiatief betref</w:t>
      </w:r>
      <w:r>
        <w:t xml:space="preserve">fende </w:t>
      </w:r>
      <w:r w:rsidRPr="000E0FEC">
        <w:rPr>
          <w:i/>
        </w:rPr>
        <w:t xml:space="preserve">Social Return </w:t>
      </w:r>
      <w:r>
        <w:t>bij aanbestedingen waaraan de provincie Utrecht heeft deel</w:t>
      </w:r>
      <w:r>
        <w:softHyphen/>
        <w:t>genomen, en welke conclusies heeft het college daaraan verbonden?</w:t>
      </w:r>
    </w:p>
    <w:p w14:paraId="2C860A7F" w14:textId="643F2ABA" w:rsidR="00181B85" w:rsidRDefault="00181B85" w:rsidP="003E0B63">
      <w:pPr>
        <w:pStyle w:val="Lijstalinea"/>
        <w:numPr>
          <w:ilvl w:val="0"/>
          <w:numId w:val="3"/>
        </w:numPr>
      </w:pPr>
      <w:r>
        <w:t xml:space="preserve">Waarom is er geen </w:t>
      </w:r>
      <w:r w:rsidRPr="000E0FEC">
        <w:rPr>
          <w:i/>
        </w:rPr>
        <w:t>Social Return</w:t>
      </w:r>
      <w:r>
        <w:t>-paragraaf in de aanbesteding opgenomen?</w:t>
      </w:r>
    </w:p>
    <w:p w14:paraId="21FA3AF3" w14:textId="77777777" w:rsidR="00D2031B" w:rsidRDefault="00D2031B" w:rsidP="00D2031B"/>
    <w:p w14:paraId="4E15895C" w14:textId="36934BE0" w:rsidR="00D2031B" w:rsidRDefault="00D2031B" w:rsidP="00D2031B">
      <w:r>
        <w:t>Namens de SP</w:t>
      </w:r>
      <w:r>
        <w:t xml:space="preserve"> respectievelijk de S</w:t>
      </w:r>
      <w:r w:rsidR="000E0FEC">
        <w:t>G</w:t>
      </w:r>
      <w:bookmarkStart w:id="0" w:name="_GoBack"/>
      <w:bookmarkEnd w:id="0"/>
      <w:r>
        <w:t>P</w:t>
      </w:r>
      <w:r>
        <w:t xml:space="preserve"> en hoogachtend,</w:t>
      </w:r>
    </w:p>
    <w:p w14:paraId="4F6E2436" w14:textId="77777777" w:rsidR="000E0FEC" w:rsidRDefault="000E0FEC" w:rsidP="00D2031B"/>
    <w:p w14:paraId="086D0873" w14:textId="1444F1F1" w:rsidR="00D2031B" w:rsidRDefault="00D2031B" w:rsidP="00D2031B">
      <w:r>
        <w:t>A.M.C. Mineur</w:t>
      </w:r>
      <w:r>
        <w:tab/>
        <w:t>W. Van Wikselaar</w:t>
      </w:r>
    </w:p>
    <w:p w14:paraId="08A22CC6" w14:textId="0163B662" w:rsidR="0003550F" w:rsidRDefault="0003550F" w:rsidP="0003550F">
      <w:pPr>
        <w:pStyle w:val="Kop1"/>
      </w:pPr>
      <w:r>
        <w:t>Bijla</w:t>
      </w:r>
      <w:r w:rsidR="00D2031B">
        <w:t>ge 1</w:t>
      </w:r>
      <w:r>
        <w:t xml:space="preserve"> — </w:t>
      </w:r>
      <w:r w:rsidRPr="000470E7">
        <w:t xml:space="preserve">Motie 3: SW-bedrijven </w:t>
      </w:r>
      <w:r>
        <w:t xml:space="preserve">werken, ook voor de Provincie </w:t>
      </w:r>
    </w:p>
    <w:p w14:paraId="509C678B" w14:textId="77777777" w:rsidR="0003550F" w:rsidRPr="000470E7" w:rsidRDefault="0003550F" w:rsidP="0003550F">
      <w:pPr>
        <w:pStyle w:val="Kop2"/>
      </w:pPr>
      <w:r>
        <w:t>I</w:t>
      </w:r>
      <w:r w:rsidRPr="000470E7">
        <w:t>ngediend door de SP fractie</w:t>
      </w:r>
      <w:r>
        <w:t>, met algemene stemmen aanvaard</w:t>
      </w:r>
    </w:p>
    <w:p w14:paraId="1B3D2181" w14:textId="77777777" w:rsidR="0003550F" w:rsidRDefault="0003550F" w:rsidP="0003550F"/>
    <w:p w14:paraId="133B1BD2" w14:textId="77777777" w:rsidR="0003550F" w:rsidRDefault="0003550F" w:rsidP="00CB45C3">
      <w:r>
        <w:t>Provinciale Staten van Utrecht, in vergadering bijeen op 27 juni 2011, ter bespreking van de voorjaarsnota;</w:t>
      </w:r>
    </w:p>
    <w:p w14:paraId="6B8A1061" w14:textId="77777777" w:rsidR="0003550F" w:rsidRDefault="0003550F" w:rsidP="00CB45C3">
      <w:r>
        <w:t>constaterende:</w:t>
      </w:r>
    </w:p>
    <w:p w14:paraId="2AA34B22" w14:textId="77777777" w:rsidR="0003550F" w:rsidRDefault="0003550F" w:rsidP="00CB45C3">
      <w:pPr>
        <w:pStyle w:val="Lijstalinea"/>
        <w:numPr>
          <w:ilvl w:val="0"/>
          <w:numId w:val="1"/>
        </w:numPr>
      </w:pPr>
      <w:r>
        <w:t>dat met de kabinetsplannen op het gebied van de WSW de werkgele</w:t>
      </w:r>
      <w:r>
        <w:softHyphen/>
        <w:t>genheid in de SW-bedrijven onder druk komt te staan;</w:t>
      </w:r>
    </w:p>
    <w:p w14:paraId="55860E6C" w14:textId="77777777" w:rsidR="0003550F" w:rsidRDefault="0003550F" w:rsidP="00CB45C3">
      <w:pPr>
        <w:pStyle w:val="Lijstalinea"/>
        <w:numPr>
          <w:ilvl w:val="0"/>
          <w:numId w:val="1"/>
        </w:numPr>
      </w:pPr>
      <w:r>
        <w:t>dat de regionale SW-bedrijven al op vele manieren werkzaamheden verrichten voor de gemeenten in de provincie;</w:t>
      </w:r>
    </w:p>
    <w:p w14:paraId="12E4327C" w14:textId="77777777" w:rsidR="0003550F" w:rsidRDefault="0003550F" w:rsidP="00CB45C3">
      <w:pPr>
        <w:pStyle w:val="Lijstalinea"/>
        <w:numPr>
          <w:ilvl w:val="0"/>
          <w:numId w:val="1"/>
        </w:numPr>
      </w:pPr>
      <w:r>
        <w:t>dat de SW-bedrijven zeer geïnteresseerd en in staat zijn om ook werk</w:t>
      </w:r>
      <w:r>
        <w:softHyphen/>
        <w:t>zaamheden voor de provincie te verrichten;</w:t>
      </w:r>
    </w:p>
    <w:p w14:paraId="354C1B79" w14:textId="77777777" w:rsidR="0003550F" w:rsidRDefault="0003550F" w:rsidP="00CB45C3">
      <w:r>
        <w:t>van mening zijnde:</w:t>
      </w:r>
    </w:p>
    <w:p w14:paraId="43C6D37D" w14:textId="77777777" w:rsidR="0003550F" w:rsidRDefault="0003550F" w:rsidP="00CB45C3">
      <w:pPr>
        <w:pStyle w:val="Lijstalinea"/>
        <w:numPr>
          <w:ilvl w:val="0"/>
          <w:numId w:val="2"/>
        </w:numPr>
      </w:pPr>
      <w:r>
        <w:t>dat ook bij de provincie een veelheid aan werkzaamheden ligt, die prima door personeel van de SW-bedrijven uitgevoerd kan worden;</w:t>
      </w:r>
    </w:p>
    <w:p w14:paraId="3DAC36C8" w14:textId="77777777" w:rsidR="0003550F" w:rsidRDefault="0003550F" w:rsidP="00CB45C3">
      <w:pPr>
        <w:pStyle w:val="Lijstalinea"/>
        <w:numPr>
          <w:ilvl w:val="0"/>
          <w:numId w:val="2"/>
        </w:numPr>
      </w:pPr>
      <w:r>
        <w:t>dat het van groot sociaal belang is voor de werknemers in de SW-bedrijven om te werken naar vermogen, in plaats van terug te vallen in een bijstands- of andere uitkering;</w:t>
      </w:r>
    </w:p>
    <w:p w14:paraId="2C36E91B" w14:textId="77777777" w:rsidR="0003550F" w:rsidRDefault="0003550F" w:rsidP="00CB45C3">
      <w:r>
        <w:t>dragen het college op:</w:t>
      </w:r>
    </w:p>
    <w:p w14:paraId="51998A0C" w14:textId="77777777" w:rsidR="0003550F" w:rsidRDefault="0003550F" w:rsidP="00CB45C3">
      <w:pPr>
        <w:pStyle w:val="Lijstalinea"/>
        <w:numPr>
          <w:ilvl w:val="0"/>
          <w:numId w:val="2"/>
        </w:numPr>
      </w:pPr>
      <w:r>
        <w:t>per omgaande in contact te treden met de SW-bedrijven over de moge</w:t>
      </w:r>
      <w:r>
        <w:softHyphen/>
        <w:t>lijk</w:t>
      </w:r>
      <w:r>
        <w:softHyphen/>
        <w:t>heden en randvoorwaarden waaronder werkzaamheden voor de pro</w:t>
      </w:r>
      <w:r>
        <w:softHyphen/>
        <w:t>vincie door de SW-bedrijven kunnen worden uitgevoerd;</w:t>
      </w:r>
    </w:p>
    <w:p w14:paraId="0A51D504" w14:textId="77777777" w:rsidR="0003550F" w:rsidRDefault="0003550F" w:rsidP="00CB45C3">
      <w:pPr>
        <w:pStyle w:val="Lijstalinea"/>
        <w:numPr>
          <w:ilvl w:val="0"/>
          <w:numId w:val="2"/>
        </w:numPr>
      </w:pPr>
      <w:r>
        <w:t>uiterlijk ten tijde van de programmabegroting 2012 een inventarisatie klaar te hebben van werkzaamheden die kunnen worden onder</w:t>
      </w:r>
      <w:r>
        <w:softHyphen/>
        <w:t>ge</w:t>
      </w:r>
      <w:r>
        <w:softHyphen/>
        <w:t>bracht bij de SW-bedrijven;</w:t>
      </w:r>
    </w:p>
    <w:p w14:paraId="56EE1F38" w14:textId="77777777" w:rsidR="0003550F" w:rsidRDefault="0003550F" w:rsidP="00CB45C3">
      <w:r>
        <w:t>En gaan over tot de orde van de dag.</w:t>
      </w:r>
    </w:p>
    <w:p w14:paraId="043D1308" w14:textId="04458378" w:rsidR="002C1277" w:rsidRDefault="00D2031B" w:rsidP="002C1277">
      <w:pPr>
        <w:pStyle w:val="Kop1"/>
      </w:pPr>
      <w:r>
        <w:t>Bijlage 2</w:t>
      </w:r>
      <w:r w:rsidR="00E3069B">
        <w:t xml:space="preserve"> — </w:t>
      </w:r>
      <w:r w:rsidR="002C1277">
        <w:t>Najaarsrapportage 2011, pagina 40</w:t>
      </w:r>
    </w:p>
    <w:tbl>
      <w:tblPr>
        <w:tblStyle w:val="Tabelraster"/>
        <w:tblW w:w="8515" w:type="dxa"/>
        <w:tblLook w:val="04A0" w:firstRow="1" w:lastRow="0" w:firstColumn="1" w:lastColumn="0" w:noHBand="0" w:noVBand="1"/>
      </w:tblPr>
      <w:tblGrid>
        <w:gridCol w:w="2235"/>
        <w:gridCol w:w="6280"/>
      </w:tblGrid>
      <w:tr w:rsidR="002C1277" w:rsidRPr="004B1334" w14:paraId="24849E50" w14:textId="77777777" w:rsidTr="00410692">
        <w:trPr>
          <w:trHeight w:val="341"/>
        </w:trPr>
        <w:tc>
          <w:tcPr>
            <w:tcW w:w="2235" w:type="dxa"/>
          </w:tcPr>
          <w:p w14:paraId="360FD8B2" w14:textId="77777777" w:rsidR="002C1277" w:rsidRPr="004B1334" w:rsidRDefault="002C1277" w:rsidP="00410692">
            <w:pPr>
              <w:spacing w:before="60" w:after="60"/>
            </w:pPr>
            <w:r>
              <w:t>PS-datum</w:t>
            </w:r>
          </w:p>
        </w:tc>
        <w:tc>
          <w:tcPr>
            <w:tcW w:w="6280" w:type="dxa"/>
          </w:tcPr>
          <w:p w14:paraId="18F906BF" w14:textId="77777777" w:rsidR="002C1277" w:rsidRPr="004B1334" w:rsidRDefault="002C1277" w:rsidP="00410692">
            <w:pPr>
              <w:spacing w:before="60" w:after="60"/>
            </w:pPr>
            <w:r w:rsidRPr="004B1334">
              <w:t>27-06-11</w:t>
            </w:r>
          </w:p>
        </w:tc>
      </w:tr>
      <w:tr w:rsidR="002C1277" w:rsidRPr="004B1334" w14:paraId="33BE879B" w14:textId="77777777" w:rsidTr="00410692">
        <w:trPr>
          <w:trHeight w:val="267"/>
        </w:trPr>
        <w:tc>
          <w:tcPr>
            <w:tcW w:w="2235" w:type="dxa"/>
          </w:tcPr>
          <w:p w14:paraId="0EBA1D23" w14:textId="77777777" w:rsidR="002C1277" w:rsidRDefault="002C1277" w:rsidP="00410692">
            <w:pPr>
              <w:spacing w:before="60" w:after="60"/>
            </w:pPr>
            <w:r>
              <w:t>Motie</w:t>
            </w:r>
          </w:p>
        </w:tc>
        <w:tc>
          <w:tcPr>
            <w:tcW w:w="6280" w:type="dxa"/>
          </w:tcPr>
          <w:p w14:paraId="14FC726D" w14:textId="77777777" w:rsidR="002C1277" w:rsidRDefault="002C1277" w:rsidP="00410692">
            <w:pPr>
              <w:spacing w:before="60" w:after="60"/>
            </w:pPr>
            <w:r w:rsidRPr="004B1334">
              <w:t>SW-bedrij</w:t>
            </w:r>
            <w:r>
              <w:softHyphen/>
            </w:r>
            <w:r w:rsidRPr="004B1334">
              <w:t>ven werken, ook voor de provincie</w:t>
            </w:r>
          </w:p>
        </w:tc>
      </w:tr>
      <w:tr w:rsidR="002C1277" w:rsidRPr="004B1334" w14:paraId="67232A87" w14:textId="77777777" w:rsidTr="00410692">
        <w:trPr>
          <w:trHeight w:val="221"/>
        </w:trPr>
        <w:tc>
          <w:tcPr>
            <w:tcW w:w="2235" w:type="dxa"/>
          </w:tcPr>
          <w:p w14:paraId="2F650E24" w14:textId="77777777" w:rsidR="002C1277" w:rsidRDefault="002C1277" w:rsidP="00410692">
            <w:pPr>
              <w:spacing w:before="60" w:after="60"/>
            </w:pPr>
            <w:r>
              <w:t>Status Motie</w:t>
            </w:r>
          </w:p>
        </w:tc>
        <w:tc>
          <w:tcPr>
            <w:tcW w:w="6280" w:type="dxa"/>
          </w:tcPr>
          <w:p w14:paraId="52DC43D5" w14:textId="77777777" w:rsidR="002C1277" w:rsidRDefault="002C1277" w:rsidP="00410692">
            <w:pPr>
              <w:spacing w:before="60" w:after="60"/>
            </w:pPr>
            <w:r>
              <w:t>Op dit moment worden bij de pro</w:t>
            </w:r>
            <w:r>
              <w:softHyphen/>
              <w:t>vincie Utrecht mede</w:t>
            </w:r>
            <w:r>
              <w:softHyphen/>
              <w:t>wer</w:t>
            </w:r>
            <w:r>
              <w:softHyphen/>
              <w:t>kers van SW-bedrij</w:t>
            </w:r>
            <w:r>
              <w:softHyphen/>
              <w:t>ven ingezet voor onderhoud van groen</w:t>
            </w:r>
            <w:r>
              <w:softHyphen/>
              <w:t>voorziening rondom het pro</w:t>
            </w:r>
            <w:r>
              <w:softHyphen/>
              <w:t>vin</w:t>
            </w:r>
            <w:r>
              <w:softHyphen/>
              <w:t>ciehuis en van een deel van pro</w:t>
            </w:r>
            <w:r>
              <w:softHyphen/>
              <w:t>vinciale we</w:t>
            </w:r>
            <w:r>
              <w:softHyphen/>
              <w:t>gen alsmede bij facilitai</w:t>
            </w:r>
            <w:r>
              <w:softHyphen/>
              <w:t>re dienst</w:t>
            </w:r>
            <w:r>
              <w:softHyphen/>
              <w:t>verlening. Om</w:t>
            </w:r>
            <w:r>
              <w:softHyphen/>
              <w:t>dat overig werk bij de pro</w:t>
            </w:r>
            <w:r>
              <w:softHyphen/>
              <w:t>vincie zich niet goed leent voor inzet van SW-mede</w:t>
            </w:r>
            <w:r>
              <w:softHyphen/>
              <w:t>wer</w:t>
            </w:r>
            <w:r>
              <w:softHyphen/>
              <w:t>kers is in plaats van het recht</w:t>
            </w:r>
            <w:r>
              <w:softHyphen/>
              <w:t>streeks gaan be</w:t>
            </w:r>
            <w:r>
              <w:softHyphen/>
              <w:t>naderen van SW-bedrijven een alter</w:t>
            </w:r>
            <w:r>
              <w:softHyphen/>
              <w:t>natief bedacht om inzet van mensen met een gro</w:t>
            </w:r>
            <w:r>
              <w:softHyphen/>
              <w:t>tere afs</w:t>
            </w:r>
            <w:r>
              <w:softHyphen/>
              <w:t>tand tot de ar</w:t>
            </w:r>
            <w:r>
              <w:softHyphen/>
              <w:t>beidsmarkt bij de pro</w:t>
            </w:r>
            <w:r>
              <w:softHyphen/>
              <w:t>vin</w:t>
            </w:r>
            <w:r>
              <w:softHyphen/>
              <w:t>cie Utrecht te bevor</w:t>
            </w:r>
            <w:r>
              <w:softHyphen/>
              <w:t>de</w:t>
            </w:r>
            <w:r>
              <w:softHyphen/>
              <w:t>ren. Dit komt er op neer dat de pro</w:t>
            </w:r>
            <w:r>
              <w:softHyphen/>
              <w:t>vincie Utrecht experimenteert met het landelijk initiatief be</w:t>
            </w:r>
            <w:r>
              <w:softHyphen/>
              <w:t>tref</w:t>
            </w:r>
            <w:r>
              <w:softHyphen/>
              <w:t>fende Social Return bij aanbestedingen. In de prak</w:t>
            </w:r>
            <w:r>
              <w:softHyphen/>
              <w:t>tijk wordt bij wijze van proef dan bij aan</w:t>
            </w:r>
            <w:r>
              <w:softHyphen/>
              <w:t>be</w:t>
            </w:r>
            <w:r>
              <w:softHyphen/>
              <w:t>stedingen die zich hier</w:t>
            </w:r>
            <w:r>
              <w:softHyphen/>
              <w:t>voor lenen de leve</w:t>
            </w:r>
            <w:r>
              <w:softHyphen/>
              <w:t>ran</w:t>
            </w:r>
            <w:r>
              <w:softHyphen/>
              <w:t>cier gevraagd een ze</w:t>
            </w:r>
            <w:r>
              <w:softHyphen/>
              <w:t xml:space="preserve">ker percentage van de </w:t>
            </w:r>
            <w:proofErr w:type="spellStart"/>
            <w:r>
              <w:t>om</w:t>
            </w:r>
            <w:r>
              <w:softHyphen/>
              <w:t>zet</w:t>
            </w:r>
            <w:r>
              <w:softHyphen/>
              <w:t>waarde</w:t>
            </w:r>
            <w:proofErr w:type="spellEnd"/>
            <w:r>
              <w:t xml:space="preserve"> te laten uit</w:t>
            </w:r>
            <w:r>
              <w:softHyphen/>
              <w:t>voeren door mensen die nu beroep doen op bij</w:t>
            </w:r>
            <w:r>
              <w:softHyphen/>
              <w:t>voorbeeld WSW, WIA en Wajong. Medio 2012 zal Gedeputeerde Staten een besluit nemen om al dan niet over te gaan tot ver</w:t>
            </w:r>
            <w:r>
              <w:softHyphen/>
              <w:t>dere implementatie van Social Return bij aanbeste</w:t>
            </w:r>
            <w:r>
              <w:softHyphen/>
              <w:t>din</w:t>
            </w:r>
            <w:r>
              <w:softHyphen/>
              <w:t>gen.</w:t>
            </w:r>
          </w:p>
        </w:tc>
      </w:tr>
      <w:tr w:rsidR="002C1277" w:rsidRPr="004B1334" w14:paraId="20005F6D" w14:textId="77777777" w:rsidTr="00410692">
        <w:trPr>
          <w:trHeight w:val="288"/>
        </w:trPr>
        <w:tc>
          <w:tcPr>
            <w:tcW w:w="2235" w:type="dxa"/>
          </w:tcPr>
          <w:p w14:paraId="4B236950" w14:textId="77777777" w:rsidR="002C1277" w:rsidRDefault="002C1277" w:rsidP="00410692">
            <w:pPr>
              <w:spacing w:before="60" w:after="60"/>
            </w:pPr>
            <w:r>
              <w:t>Afgerond?</w:t>
            </w:r>
          </w:p>
        </w:tc>
        <w:tc>
          <w:tcPr>
            <w:tcW w:w="6280" w:type="dxa"/>
          </w:tcPr>
          <w:p w14:paraId="288C0DF6" w14:textId="77777777" w:rsidR="002C1277" w:rsidRDefault="002C1277" w:rsidP="00410692">
            <w:pPr>
              <w:spacing w:before="60" w:after="60"/>
            </w:pPr>
            <w:r w:rsidRPr="004B1334">
              <w:t>Ja</w:t>
            </w:r>
          </w:p>
        </w:tc>
      </w:tr>
      <w:tr w:rsidR="002C1277" w:rsidRPr="004B1334" w14:paraId="62C1A737" w14:textId="77777777" w:rsidTr="00410692">
        <w:trPr>
          <w:trHeight w:val="215"/>
        </w:trPr>
        <w:tc>
          <w:tcPr>
            <w:tcW w:w="2235" w:type="dxa"/>
          </w:tcPr>
          <w:p w14:paraId="49598FE5" w14:textId="77777777" w:rsidR="002C1277" w:rsidRDefault="002C1277" w:rsidP="00410692">
            <w:pPr>
              <w:spacing w:before="60" w:after="60"/>
            </w:pPr>
            <w:r>
              <w:t>Verwachte afdoenings</w:t>
            </w:r>
            <w:r>
              <w:softHyphen/>
              <w:t>termijn</w:t>
            </w:r>
          </w:p>
        </w:tc>
        <w:tc>
          <w:tcPr>
            <w:tcW w:w="6280" w:type="dxa"/>
          </w:tcPr>
          <w:p w14:paraId="0BF21FFB" w14:textId="77777777" w:rsidR="002C1277" w:rsidRDefault="002C1277" w:rsidP="00410692">
            <w:pPr>
              <w:spacing w:before="60" w:after="60"/>
            </w:pPr>
            <w:r w:rsidRPr="004B1334">
              <w:t>2011</w:t>
            </w:r>
          </w:p>
        </w:tc>
      </w:tr>
    </w:tbl>
    <w:p w14:paraId="23B2AAC8" w14:textId="4AFE2A56" w:rsidR="00055B21" w:rsidRDefault="00D2031B" w:rsidP="00055B21">
      <w:pPr>
        <w:pStyle w:val="Kop1"/>
      </w:pPr>
      <w:r>
        <w:t>Bijlage 3</w:t>
      </w:r>
      <w:r w:rsidR="00055B21">
        <w:t xml:space="preserve"> — </w:t>
      </w:r>
      <w:r w:rsidR="00055B21" w:rsidRPr="002318BE">
        <w:t>Tekst Aanbestedingskalender</w:t>
      </w:r>
      <w:r w:rsidR="00055B21">
        <w:t>, 7 januari 2013</w:t>
      </w:r>
    </w:p>
    <w:p w14:paraId="184E77E0" w14:textId="77777777" w:rsidR="00055B21" w:rsidRDefault="000E0FEC" w:rsidP="00055B21">
      <w:hyperlink r:id="rId6" w:history="1">
        <w:r w:rsidR="00055B21" w:rsidRPr="003E173D">
          <w:rPr>
            <w:rStyle w:val="Hyperlink"/>
          </w:rPr>
          <w:t>http://www.aanbestedingskalender.nl/download.aspx?id=f7ac83f3-70e7-47f3-bace-5250b4557d7a&amp;ext=pdf</w:t>
        </w:r>
      </w:hyperlink>
      <w:r w:rsidR="00055B21">
        <w:t xml:space="preserve"> </w:t>
      </w:r>
    </w:p>
    <w:p w14:paraId="332814CC" w14:textId="15598F37" w:rsidR="00055B21" w:rsidRPr="00CB45C3" w:rsidRDefault="00055B21" w:rsidP="00CB45C3">
      <w:pPr>
        <w:spacing w:before="60" w:after="60"/>
      </w:pPr>
      <w:r w:rsidRPr="00CB45C3">
        <w:t>AFDELING II: VOORWERP VAN DE OPDRACHT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7512"/>
      </w:tblGrid>
      <w:tr w:rsidR="00CB45C3" w:rsidRPr="00CB45C3" w14:paraId="3150ACB0" w14:textId="77777777" w:rsidTr="00CB45C3">
        <w:tc>
          <w:tcPr>
            <w:tcW w:w="1003" w:type="dxa"/>
          </w:tcPr>
          <w:p w14:paraId="4CF420ED" w14:textId="77777777" w:rsidR="00CB45C3" w:rsidRPr="00CB45C3" w:rsidRDefault="00CB45C3" w:rsidP="000E0FEC">
            <w:pPr>
              <w:spacing w:after="0"/>
            </w:pPr>
            <w:r w:rsidRPr="00CB45C3">
              <w:t>II.1)</w:t>
            </w:r>
          </w:p>
        </w:tc>
        <w:tc>
          <w:tcPr>
            <w:tcW w:w="7512" w:type="dxa"/>
          </w:tcPr>
          <w:p w14:paraId="4CA000EF" w14:textId="77777777" w:rsidR="00CB45C3" w:rsidRPr="00CB45C3" w:rsidRDefault="00CB45C3" w:rsidP="000E0FEC">
            <w:pPr>
              <w:spacing w:after="0"/>
            </w:pPr>
            <w:r w:rsidRPr="00CB45C3">
              <w:t>BESCHRIJVING:</w:t>
            </w:r>
          </w:p>
        </w:tc>
      </w:tr>
      <w:tr w:rsidR="00CB45C3" w:rsidRPr="00CB45C3" w14:paraId="4D3FD665" w14:textId="77777777" w:rsidTr="00CB45C3">
        <w:tc>
          <w:tcPr>
            <w:tcW w:w="1003" w:type="dxa"/>
          </w:tcPr>
          <w:p w14:paraId="7EFDA9EF" w14:textId="77777777" w:rsidR="00CB45C3" w:rsidRPr="00CB45C3" w:rsidRDefault="00CB45C3" w:rsidP="000E0FEC">
            <w:pPr>
              <w:spacing w:after="0"/>
            </w:pPr>
            <w:r w:rsidRPr="00CB45C3">
              <w:t>II.1.1)</w:t>
            </w:r>
          </w:p>
        </w:tc>
        <w:tc>
          <w:tcPr>
            <w:tcW w:w="7512" w:type="dxa"/>
          </w:tcPr>
          <w:p w14:paraId="646D3965" w14:textId="77777777" w:rsidR="00CB45C3" w:rsidRPr="00CB45C3" w:rsidRDefault="00CB45C3" w:rsidP="000E0FEC">
            <w:pPr>
              <w:spacing w:after="0"/>
            </w:pPr>
            <w:r w:rsidRPr="00CB45C3">
              <w:t>Door de aanbestedende dienst aan de opdracht gegeven benaming:</w:t>
            </w:r>
          </w:p>
        </w:tc>
      </w:tr>
      <w:tr w:rsidR="00CB45C3" w:rsidRPr="00CB45C3" w14:paraId="24E01705" w14:textId="77777777" w:rsidTr="00CB45C3">
        <w:tc>
          <w:tcPr>
            <w:tcW w:w="1003" w:type="dxa"/>
          </w:tcPr>
          <w:p w14:paraId="2510C074" w14:textId="446FBDB0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0EB3DADD" w14:textId="05F15751" w:rsidR="00CB45C3" w:rsidRPr="00CB45C3" w:rsidRDefault="00CB45C3" w:rsidP="000E0FEC">
            <w:pPr>
              <w:spacing w:after="0"/>
            </w:pPr>
            <w:r w:rsidRPr="00CB45C3">
              <w:t>Bestek 934, dienst 2013, voor het gedurende 2 jaar onderhouden van ber</w:t>
            </w:r>
            <w:r w:rsidRPr="00CB45C3">
              <w:softHyphen/>
              <w:t>men en watergangen langs provinciale wegen in de provincie Utrecht.</w:t>
            </w:r>
          </w:p>
        </w:tc>
      </w:tr>
      <w:tr w:rsidR="00CB45C3" w:rsidRPr="00CB45C3" w14:paraId="1ED32A86" w14:textId="77777777" w:rsidTr="00CB45C3">
        <w:tc>
          <w:tcPr>
            <w:tcW w:w="1003" w:type="dxa"/>
          </w:tcPr>
          <w:p w14:paraId="43DFE046" w14:textId="77777777" w:rsidR="00CB45C3" w:rsidRPr="00CB45C3" w:rsidRDefault="00CB45C3" w:rsidP="000E0FEC">
            <w:pPr>
              <w:spacing w:after="0"/>
            </w:pPr>
            <w:r w:rsidRPr="00CB45C3">
              <w:t>II.1.2)</w:t>
            </w:r>
          </w:p>
        </w:tc>
        <w:tc>
          <w:tcPr>
            <w:tcW w:w="7512" w:type="dxa"/>
          </w:tcPr>
          <w:p w14:paraId="7EABC5E0" w14:textId="77777777" w:rsidR="00CB45C3" w:rsidRPr="00CB45C3" w:rsidRDefault="00CB45C3" w:rsidP="000E0FEC">
            <w:pPr>
              <w:spacing w:after="0"/>
            </w:pPr>
            <w:r w:rsidRPr="00CB45C3">
              <w:t>Type opdracht en plaats van uitvoering van de werken, levering van de goederen of verlening van de diensten:</w:t>
            </w:r>
          </w:p>
        </w:tc>
      </w:tr>
      <w:tr w:rsidR="00CB45C3" w:rsidRPr="00CB45C3" w14:paraId="1F2C27E1" w14:textId="77777777" w:rsidTr="00CB45C3">
        <w:tc>
          <w:tcPr>
            <w:tcW w:w="1003" w:type="dxa"/>
          </w:tcPr>
          <w:p w14:paraId="26130BCE" w14:textId="23CE8276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43B8AF5C" w14:textId="77777777" w:rsidR="00CB45C3" w:rsidRPr="00CB45C3" w:rsidRDefault="00CB45C3" w:rsidP="000E0FEC">
            <w:pPr>
              <w:spacing w:after="0"/>
            </w:pPr>
            <w:r w:rsidRPr="00CB45C3">
              <w:t>Diensten.</w:t>
            </w:r>
          </w:p>
        </w:tc>
      </w:tr>
      <w:tr w:rsidR="00CB45C3" w:rsidRPr="00CB45C3" w14:paraId="606B7C0D" w14:textId="77777777" w:rsidTr="00CB45C3">
        <w:tc>
          <w:tcPr>
            <w:tcW w:w="1003" w:type="dxa"/>
          </w:tcPr>
          <w:p w14:paraId="7C0292D7" w14:textId="15882A61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09C8337A" w14:textId="77777777" w:rsidR="00CB45C3" w:rsidRPr="00CB45C3" w:rsidRDefault="00CB45C3" w:rsidP="000E0FEC">
            <w:pPr>
              <w:spacing w:after="0"/>
            </w:pPr>
            <w:r w:rsidRPr="00CB45C3">
              <w:t>Categorie diensten: nr. 27.</w:t>
            </w:r>
          </w:p>
        </w:tc>
      </w:tr>
      <w:tr w:rsidR="00CB45C3" w:rsidRPr="00CB45C3" w14:paraId="6BC5F755" w14:textId="77777777" w:rsidTr="00CB45C3">
        <w:tc>
          <w:tcPr>
            <w:tcW w:w="1003" w:type="dxa"/>
          </w:tcPr>
          <w:p w14:paraId="1682E96C" w14:textId="36FFFC8B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3741A0E3" w14:textId="63F0B9BE" w:rsidR="00CB45C3" w:rsidRPr="00CB45C3" w:rsidRDefault="00CB45C3" w:rsidP="000E0FEC">
            <w:pPr>
              <w:spacing w:after="0"/>
            </w:pPr>
            <w:r w:rsidRPr="00CB45C3">
              <w:t>Belangrijkste plaats van dienstverlening: De provinciale wegen in de pro</w:t>
            </w:r>
            <w:r w:rsidRPr="00CB45C3">
              <w:softHyphen/>
              <w:t>vin</w:t>
            </w:r>
            <w:r w:rsidRPr="00CB45C3">
              <w:softHyphen/>
              <w:t>cie Utrecht..</w:t>
            </w:r>
          </w:p>
        </w:tc>
      </w:tr>
      <w:tr w:rsidR="00CB45C3" w:rsidRPr="00CB45C3" w14:paraId="2F4BE023" w14:textId="77777777" w:rsidTr="00CB45C3">
        <w:tc>
          <w:tcPr>
            <w:tcW w:w="1003" w:type="dxa"/>
          </w:tcPr>
          <w:p w14:paraId="24AE7409" w14:textId="37CFB92E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53A6565C" w14:textId="77777777" w:rsidR="00CB45C3" w:rsidRPr="00CB45C3" w:rsidRDefault="00CB45C3" w:rsidP="000E0FEC">
            <w:pPr>
              <w:spacing w:after="0"/>
            </w:pPr>
            <w:r w:rsidRPr="00CB45C3">
              <w:t>NUTS code: NL31.</w:t>
            </w:r>
          </w:p>
        </w:tc>
      </w:tr>
      <w:tr w:rsidR="00CB45C3" w:rsidRPr="00CB45C3" w14:paraId="276546DE" w14:textId="77777777" w:rsidTr="00CB45C3">
        <w:tc>
          <w:tcPr>
            <w:tcW w:w="1003" w:type="dxa"/>
          </w:tcPr>
          <w:p w14:paraId="0CE27AF4" w14:textId="77777777" w:rsidR="00CB45C3" w:rsidRPr="00CB45C3" w:rsidRDefault="00CB45C3" w:rsidP="000E0FEC">
            <w:pPr>
              <w:spacing w:after="0"/>
            </w:pPr>
            <w:r w:rsidRPr="00CB45C3">
              <w:t>II.1.3)</w:t>
            </w:r>
          </w:p>
        </w:tc>
        <w:tc>
          <w:tcPr>
            <w:tcW w:w="7512" w:type="dxa"/>
          </w:tcPr>
          <w:p w14:paraId="6793AD1E" w14:textId="77777777" w:rsidR="00CB45C3" w:rsidRPr="00CB45C3" w:rsidRDefault="00CB45C3" w:rsidP="000E0FEC">
            <w:pPr>
              <w:spacing w:after="0"/>
            </w:pPr>
            <w:r w:rsidRPr="00CB45C3">
              <w:t>De aankondiging betreft:</w:t>
            </w:r>
          </w:p>
        </w:tc>
      </w:tr>
      <w:tr w:rsidR="00CB45C3" w:rsidRPr="00CB45C3" w14:paraId="26DA358C" w14:textId="77777777" w:rsidTr="00CB45C3">
        <w:tc>
          <w:tcPr>
            <w:tcW w:w="1003" w:type="dxa"/>
          </w:tcPr>
          <w:p w14:paraId="735C8CDC" w14:textId="36495F09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4094C870" w14:textId="77777777" w:rsidR="00CB45C3" w:rsidRPr="00CB45C3" w:rsidRDefault="00CB45C3" w:rsidP="000E0FEC">
            <w:pPr>
              <w:spacing w:after="0"/>
            </w:pPr>
            <w:r w:rsidRPr="00CB45C3">
              <w:t>Een overheidsopdracht.</w:t>
            </w:r>
          </w:p>
        </w:tc>
      </w:tr>
      <w:tr w:rsidR="00CB45C3" w:rsidRPr="00CB45C3" w14:paraId="48776F76" w14:textId="77777777" w:rsidTr="00CB45C3">
        <w:tc>
          <w:tcPr>
            <w:tcW w:w="1003" w:type="dxa"/>
          </w:tcPr>
          <w:p w14:paraId="1C4512EE" w14:textId="77777777" w:rsidR="00CB45C3" w:rsidRPr="00CB45C3" w:rsidRDefault="00CB45C3" w:rsidP="000E0FEC">
            <w:pPr>
              <w:spacing w:after="0"/>
            </w:pPr>
            <w:r w:rsidRPr="00CB45C3">
              <w:t>II.1.4)</w:t>
            </w:r>
          </w:p>
        </w:tc>
        <w:tc>
          <w:tcPr>
            <w:tcW w:w="7512" w:type="dxa"/>
          </w:tcPr>
          <w:p w14:paraId="20F3EA7D" w14:textId="77777777" w:rsidR="00CB45C3" w:rsidRPr="00CB45C3" w:rsidRDefault="00CB45C3" w:rsidP="000E0FEC">
            <w:pPr>
              <w:spacing w:after="0"/>
            </w:pPr>
            <w:r w:rsidRPr="00CB45C3">
              <w:t>Inlichtingen over een raamovereenkomst:</w:t>
            </w:r>
          </w:p>
        </w:tc>
      </w:tr>
      <w:tr w:rsidR="00CB45C3" w:rsidRPr="00CB45C3" w14:paraId="0122D42F" w14:textId="77777777" w:rsidTr="00CB45C3">
        <w:tc>
          <w:tcPr>
            <w:tcW w:w="1003" w:type="dxa"/>
          </w:tcPr>
          <w:p w14:paraId="28FBE898" w14:textId="77777777" w:rsidR="00CB45C3" w:rsidRPr="00CB45C3" w:rsidRDefault="00CB45C3" w:rsidP="000E0FEC">
            <w:pPr>
              <w:spacing w:after="0"/>
            </w:pPr>
            <w:r w:rsidRPr="00CB45C3">
              <w:t>II.1.5)</w:t>
            </w:r>
          </w:p>
        </w:tc>
        <w:tc>
          <w:tcPr>
            <w:tcW w:w="7512" w:type="dxa"/>
          </w:tcPr>
          <w:p w14:paraId="6316EA2E" w14:textId="77777777" w:rsidR="00CB45C3" w:rsidRPr="00CB45C3" w:rsidRDefault="00CB45C3" w:rsidP="000E0FEC">
            <w:pPr>
              <w:spacing w:after="0"/>
            </w:pPr>
            <w:r w:rsidRPr="00CB45C3">
              <w:t>Korte beschrijving van de opdracht of de aankoop/aankopen:</w:t>
            </w:r>
          </w:p>
        </w:tc>
      </w:tr>
      <w:tr w:rsidR="00CB45C3" w:rsidRPr="00CB45C3" w14:paraId="329A46FB" w14:textId="77777777" w:rsidTr="00CB45C3">
        <w:tc>
          <w:tcPr>
            <w:tcW w:w="1003" w:type="dxa"/>
          </w:tcPr>
          <w:p w14:paraId="3032D103" w14:textId="316CCEE1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288933F0" w14:textId="541D9BEF" w:rsidR="00CB45C3" w:rsidRPr="00CB45C3" w:rsidRDefault="00CB45C3" w:rsidP="000E0FEC">
            <w:pPr>
              <w:spacing w:after="0"/>
            </w:pPr>
            <w:r w:rsidRPr="00CB45C3">
              <w:t>Het gedurende 2 jaar onderhouden van bermen en watergangen en bij</w:t>
            </w:r>
            <w:r w:rsidRPr="00CB45C3">
              <w:softHyphen/>
              <w:t>ko</w:t>
            </w:r>
            <w:r w:rsidRPr="00CB45C3">
              <w:softHyphen/>
              <w:t>men</w:t>
            </w:r>
            <w:r w:rsidRPr="00CB45C3">
              <w:softHyphen/>
              <w:t>de werkzaamheden langs de provinciale wegen in de provincie Utrecht.</w:t>
            </w:r>
          </w:p>
        </w:tc>
      </w:tr>
      <w:tr w:rsidR="00CB45C3" w:rsidRPr="00CB45C3" w14:paraId="1B6A2593" w14:textId="77777777" w:rsidTr="00CB45C3">
        <w:tc>
          <w:tcPr>
            <w:tcW w:w="1003" w:type="dxa"/>
          </w:tcPr>
          <w:p w14:paraId="63A1E3A2" w14:textId="2C576FE8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54A6BB3E" w14:textId="77777777" w:rsidR="00CB45C3" w:rsidRPr="00CB45C3" w:rsidRDefault="00CB45C3" w:rsidP="000E0FEC">
            <w:pPr>
              <w:spacing w:after="0"/>
            </w:pPr>
            <w:r w:rsidRPr="00CB45C3">
              <w:t>Het afvoeren en (laten) verwerken van vrijkomende materialen.</w:t>
            </w:r>
          </w:p>
        </w:tc>
      </w:tr>
      <w:tr w:rsidR="00CB45C3" w:rsidRPr="00CB45C3" w14:paraId="317765B1" w14:textId="77777777" w:rsidTr="00CB45C3">
        <w:tc>
          <w:tcPr>
            <w:tcW w:w="1003" w:type="dxa"/>
          </w:tcPr>
          <w:p w14:paraId="52302908" w14:textId="0ADBC669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1CA2ED54" w14:textId="010840D3" w:rsidR="00CB45C3" w:rsidRPr="00CB45C3" w:rsidRDefault="00CB45C3" w:rsidP="000E0FEC">
            <w:pPr>
              <w:spacing w:after="0"/>
            </w:pPr>
            <w:r w:rsidRPr="00CB45C3">
              <w:t xml:space="preserve">Het betreft een massa-percelen bestek met frequentie- en </w:t>
            </w:r>
            <w:proofErr w:type="spellStart"/>
            <w:r w:rsidRPr="00CB45C3">
              <w:t>beeld</w:t>
            </w:r>
            <w:r>
              <w:softHyphen/>
            </w:r>
            <w:r w:rsidRPr="00CB45C3">
              <w:t>posten</w:t>
            </w:r>
            <w:proofErr w:type="spellEnd"/>
            <w:r w:rsidRPr="00CB45C3">
              <w:t>; in</w:t>
            </w:r>
            <w:r w:rsidRPr="00CB45C3">
              <w:softHyphen/>
              <w:t>schrijving kan geschieden op de percelen afzonderlijk en/of op de massa.</w:t>
            </w:r>
          </w:p>
        </w:tc>
      </w:tr>
      <w:tr w:rsidR="00CB45C3" w:rsidRPr="00CB45C3" w14:paraId="08EDE1DD" w14:textId="77777777" w:rsidTr="00CB45C3">
        <w:tc>
          <w:tcPr>
            <w:tcW w:w="1003" w:type="dxa"/>
          </w:tcPr>
          <w:p w14:paraId="4C84F74A" w14:textId="77777777" w:rsidR="00CB45C3" w:rsidRPr="00CB45C3" w:rsidRDefault="00CB45C3" w:rsidP="000E0FEC">
            <w:pPr>
              <w:spacing w:after="0"/>
            </w:pPr>
            <w:r w:rsidRPr="00CB45C3">
              <w:t>II.1.6)</w:t>
            </w:r>
          </w:p>
        </w:tc>
        <w:tc>
          <w:tcPr>
            <w:tcW w:w="7512" w:type="dxa"/>
          </w:tcPr>
          <w:p w14:paraId="240FB05F" w14:textId="34AB88FD" w:rsidR="00CB45C3" w:rsidRPr="00CB45C3" w:rsidRDefault="00CB45C3" w:rsidP="000E0FEC">
            <w:pPr>
              <w:spacing w:after="0"/>
            </w:pPr>
            <w:r w:rsidRPr="00CB45C3">
              <w:t>CPV-classificatie (Gemeenschappelijke woordenlijst overheids</w:t>
            </w:r>
            <w:r>
              <w:softHyphen/>
            </w:r>
            <w:r w:rsidRPr="00CB45C3">
              <w:t>opdrachten):</w:t>
            </w:r>
          </w:p>
        </w:tc>
      </w:tr>
      <w:tr w:rsidR="00CB45C3" w:rsidRPr="00CB45C3" w14:paraId="25CB189D" w14:textId="77777777" w:rsidTr="00CB45C3">
        <w:tc>
          <w:tcPr>
            <w:tcW w:w="1003" w:type="dxa"/>
          </w:tcPr>
          <w:p w14:paraId="28FE9B5A" w14:textId="6B5DDC5D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4A9A8AC9" w14:textId="77777777" w:rsidR="00CB45C3" w:rsidRPr="00CB45C3" w:rsidRDefault="00CB45C3" w:rsidP="000E0FEC">
            <w:pPr>
              <w:spacing w:after="0"/>
            </w:pPr>
            <w:r w:rsidRPr="00CB45C3">
              <w:t>45233229</w:t>
            </w:r>
          </w:p>
        </w:tc>
      </w:tr>
      <w:tr w:rsidR="00CB45C3" w:rsidRPr="00CB45C3" w14:paraId="50833BE3" w14:textId="77777777" w:rsidTr="00CB45C3">
        <w:tc>
          <w:tcPr>
            <w:tcW w:w="1003" w:type="dxa"/>
          </w:tcPr>
          <w:p w14:paraId="7B7BFF78" w14:textId="77777777" w:rsidR="00CB45C3" w:rsidRPr="00CB45C3" w:rsidRDefault="00CB45C3" w:rsidP="000E0FEC">
            <w:pPr>
              <w:spacing w:after="0"/>
            </w:pPr>
            <w:r w:rsidRPr="00CB45C3">
              <w:t>II.1.7)</w:t>
            </w:r>
          </w:p>
        </w:tc>
        <w:tc>
          <w:tcPr>
            <w:tcW w:w="7512" w:type="dxa"/>
          </w:tcPr>
          <w:p w14:paraId="5F04A6E3" w14:textId="77777777" w:rsidR="00CB45C3" w:rsidRPr="00CB45C3" w:rsidRDefault="00CB45C3" w:rsidP="000E0FEC">
            <w:pPr>
              <w:spacing w:after="0"/>
            </w:pPr>
            <w:r w:rsidRPr="00CB45C3">
              <w:t>Opdracht valt onder de Overeenkomst inzake overheidsopdrachten (GPA):</w:t>
            </w:r>
          </w:p>
        </w:tc>
      </w:tr>
      <w:tr w:rsidR="00CB45C3" w:rsidRPr="00CB45C3" w14:paraId="3DA5334D" w14:textId="77777777" w:rsidTr="00CB45C3">
        <w:tc>
          <w:tcPr>
            <w:tcW w:w="1003" w:type="dxa"/>
          </w:tcPr>
          <w:p w14:paraId="559D631B" w14:textId="34097F1A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11EFF561" w14:textId="77777777" w:rsidR="00CB45C3" w:rsidRPr="00CB45C3" w:rsidRDefault="00CB45C3" w:rsidP="000E0FEC">
            <w:pPr>
              <w:spacing w:after="0"/>
            </w:pPr>
            <w:r w:rsidRPr="00CB45C3">
              <w:t>Neen.</w:t>
            </w:r>
          </w:p>
        </w:tc>
      </w:tr>
      <w:tr w:rsidR="00CB45C3" w:rsidRPr="00CB45C3" w14:paraId="4A03DBFD" w14:textId="77777777" w:rsidTr="00CB45C3">
        <w:tc>
          <w:tcPr>
            <w:tcW w:w="1003" w:type="dxa"/>
          </w:tcPr>
          <w:p w14:paraId="05ADD922" w14:textId="77777777" w:rsidR="00CB45C3" w:rsidRPr="00CB45C3" w:rsidRDefault="00CB45C3" w:rsidP="000E0FEC">
            <w:pPr>
              <w:spacing w:after="0"/>
            </w:pPr>
            <w:r w:rsidRPr="00CB45C3">
              <w:t>II.1.8)</w:t>
            </w:r>
          </w:p>
        </w:tc>
        <w:tc>
          <w:tcPr>
            <w:tcW w:w="7512" w:type="dxa"/>
          </w:tcPr>
          <w:p w14:paraId="796F9DC1" w14:textId="77777777" w:rsidR="00CB45C3" w:rsidRPr="00CB45C3" w:rsidRDefault="00CB45C3" w:rsidP="000E0FEC">
            <w:pPr>
              <w:spacing w:after="0"/>
            </w:pPr>
            <w:r w:rsidRPr="00CB45C3">
              <w:t>Verdeling in percelen:</w:t>
            </w:r>
          </w:p>
        </w:tc>
      </w:tr>
      <w:tr w:rsidR="00CB45C3" w:rsidRPr="00CB45C3" w14:paraId="712FD389" w14:textId="77777777" w:rsidTr="00CB45C3">
        <w:tc>
          <w:tcPr>
            <w:tcW w:w="1003" w:type="dxa"/>
          </w:tcPr>
          <w:p w14:paraId="111B61E3" w14:textId="1C423C21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6287074C" w14:textId="77777777" w:rsidR="00CB45C3" w:rsidRPr="00CB45C3" w:rsidRDefault="00CB45C3" w:rsidP="000E0FEC">
            <w:pPr>
              <w:spacing w:after="0"/>
            </w:pPr>
            <w:r w:rsidRPr="00CB45C3">
              <w:t>Ja.</w:t>
            </w:r>
          </w:p>
        </w:tc>
      </w:tr>
      <w:tr w:rsidR="00CB45C3" w:rsidRPr="00CB45C3" w14:paraId="63A31B98" w14:textId="77777777" w:rsidTr="00CB45C3">
        <w:tc>
          <w:tcPr>
            <w:tcW w:w="1003" w:type="dxa"/>
          </w:tcPr>
          <w:p w14:paraId="52D3224F" w14:textId="43C5F484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08D80E23" w14:textId="77777777" w:rsidR="00CB45C3" w:rsidRPr="00CB45C3" w:rsidRDefault="00CB45C3" w:rsidP="000E0FEC">
            <w:pPr>
              <w:spacing w:after="0"/>
            </w:pPr>
            <w:r w:rsidRPr="00CB45C3">
              <w:t>Moeten inschrijvingen worden ingediend voor: Een of meerdere percelen.</w:t>
            </w:r>
          </w:p>
        </w:tc>
      </w:tr>
      <w:tr w:rsidR="00CB45C3" w:rsidRPr="00CB45C3" w14:paraId="095AD114" w14:textId="77777777" w:rsidTr="00CB45C3">
        <w:tc>
          <w:tcPr>
            <w:tcW w:w="1003" w:type="dxa"/>
          </w:tcPr>
          <w:p w14:paraId="03668FFB" w14:textId="77777777" w:rsidR="00CB45C3" w:rsidRPr="00CB45C3" w:rsidRDefault="00CB45C3" w:rsidP="000E0FEC">
            <w:pPr>
              <w:spacing w:after="0"/>
            </w:pPr>
            <w:r w:rsidRPr="00CB45C3">
              <w:t>II.1.9)</w:t>
            </w:r>
          </w:p>
        </w:tc>
        <w:tc>
          <w:tcPr>
            <w:tcW w:w="7512" w:type="dxa"/>
          </w:tcPr>
          <w:p w14:paraId="10AE4A08" w14:textId="77777777" w:rsidR="00CB45C3" w:rsidRPr="00CB45C3" w:rsidRDefault="00CB45C3" w:rsidP="000E0FEC">
            <w:pPr>
              <w:spacing w:after="0"/>
            </w:pPr>
            <w:r w:rsidRPr="00CB45C3">
              <w:t>Varianten worden geaccepteerd:</w:t>
            </w:r>
          </w:p>
        </w:tc>
      </w:tr>
      <w:tr w:rsidR="00CB45C3" w:rsidRPr="00CB45C3" w14:paraId="30DA0D1C" w14:textId="77777777" w:rsidTr="00CB45C3">
        <w:tc>
          <w:tcPr>
            <w:tcW w:w="1003" w:type="dxa"/>
          </w:tcPr>
          <w:p w14:paraId="7C139A45" w14:textId="0EF40DE6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17123724" w14:textId="77777777" w:rsidR="00CB45C3" w:rsidRPr="00CB45C3" w:rsidRDefault="00CB45C3" w:rsidP="000E0FEC">
            <w:pPr>
              <w:spacing w:after="0"/>
            </w:pPr>
            <w:r w:rsidRPr="00CB45C3">
              <w:t>Neen.</w:t>
            </w:r>
          </w:p>
        </w:tc>
      </w:tr>
      <w:tr w:rsidR="00CB45C3" w:rsidRPr="00CB45C3" w14:paraId="444C5B34" w14:textId="77777777" w:rsidTr="00CB45C3">
        <w:tc>
          <w:tcPr>
            <w:tcW w:w="1003" w:type="dxa"/>
          </w:tcPr>
          <w:p w14:paraId="2696BF68" w14:textId="53B8D69A" w:rsidR="00CB45C3" w:rsidRPr="00CB45C3" w:rsidRDefault="00CB45C3" w:rsidP="000E0FEC">
            <w:pPr>
              <w:spacing w:after="0"/>
            </w:pPr>
            <w:r w:rsidRPr="00CB45C3">
              <w:t>II.2)</w:t>
            </w:r>
          </w:p>
        </w:tc>
        <w:tc>
          <w:tcPr>
            <w:tcW w:w="7512" w:type="dxa"/>
          </w:tcPr>
          <w:p w14:paraId="0039CBCE" w14:textId="14D18988" w:rsidR="00CB45C3" w:rsidRPr="00CB45C3" w:rsidRDefault="00CB45C3" w:rsidP="000E0FEC">
            <w:pPr>
              <w:spacing w:after="0"/>
            </w:pPr>
            <w:r w:rsidRPr="00CB45C3">
              <w:t>HOEVEELHEDEN OF OMVANG VAN DE OPDRACHT</w:t>
            </w:r>
          </w:p>
        </w:tc>
      </w:tr>
      <w:tr w:rsidR="00CB45C3" w:rsidRPr="00CB45C3" w14:paraId="0610A2A7" w14:textId="77777777" w:rsidTr="00CB45C3">
        <w:tc>
          <w:tcPr>
            <w:tcW w:w="1003" w:type="dxa"/>
          </w:tcPr>
          <w:p w14:paraId="45A29419" w14:textId="49F50611" w:rsidR="00CB45C3" w:rsidRPr="00CB45C3" w:rsidRDefault="00CB45C3" w:rsidP="000E0FEC">
            <w:pPr>
              <w:spacing w:after="0"/>
            </w:pPr>
            <w:r w:rsidRPr="00CB45C3">
              <w:t>II.2.1)</w:t>
            </w:r>
          </w:p>
        </w:tc>
        <w:tc>
          <w:tcPr>
            <w:tcW w:w="7512" w:type="dxa"/>
          </w:tcPr>
          <w:p w14:paraId="091858BB" w14:textId="098207CA" w:rsidR="00CB45C3" w:rsidRPr="00CB45C3" w:rsidRDefault="00CB45C3" w:rsidP="000E0FEC">
            <w:pPr>
              <w:spacing w:after="0"/>
            </w:pPr>
            <w:r w:rsidRPr="00CB45C3">
              <w:t>Totale hoeveelheid of omvang:</w:t>
            </w:r>
          </w:p>
        </w:tc>
      </w:tr>
      <w:tr w:rsidR="00CB45C3" w:rsidRPr="00CB45C3" w14:paraId="55970876" w14:textId="77777777" w:rsidTr="00CB45C3">
        <w:tc>
          <w:tcPr>
            <w:tcW w:w="1003" w:type="dxa"/>
          </w:tcPr>
          <w:p w14:paraId="42EB9C05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63CD49D9" w14:textId="416B2FA6" w:rsidR="00CB45C3" w:rsidRPr="00CB45C3" w:rsidRDefault="00CB45C3" w:rsidP="000E0FEC">
            <w:pPr>
              <w:spacing w:after="0"/>
            </w:pPr>
            <w:r w:rsidRPr="00CB45C3">
              <w:t>Het totale werk (massa) omvat in hoofdzaak:</w:t>
            </w:r>
          </w:p>
        </w:tc>
      </w:tr>
      <w:tr w:rsidR="00CB45C3" w:rsidRPr="00CB45C3" w14:paraId="1CFFA373" w14:textId="77777777" w:rsidTr="00CB45C3">
        <w:tc>
          <w:tcPr>
            <w:tcW w:w="1003" w:type="dxa"/>
          </w:tcPr>
          <w:p w14:paraId="5CD53AD0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7B3E3838" w14:textId="480FCF8B" w:rsidR="00CB45C3" w:rsidRPr="00CB45C3" w:rsidRDefault="00CB45C3" w:rsidP="000E0FEC">
            <w:pPr>
              <w:spacing w:after="0"/>
            </w:pPr>
            <w:r w:rsidRPr="00CB45C3">
              <w:t>- (frequentie)maaien van bermen en taluds ca. 134.120 are;</w:t>
            </w:r>
          </w:p>
        </w:tc>
      </w:tr>
      <w:tr w:rsidR="00CB45C3" w:rsidRPr="00CB45C3" w14:paraId="0487A506" w14:textId="77777777" w:rsidTr="00CB45C3">
        <w:tc>
          <w:tcPr>
            <w:tcW w:w="1003" w:type="dxa"/>
          </w:tcPr>
          <w:p w14:paraId="3FFF8424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487D2880" w14:textId="2199D1FA" w:rsidR="00CB45C3" w:rsidRPr="00CB45C3" w:rsidRDefault="00CB45C3" w:rsidP="000E0FEC">
            <w:pPr>
              <w:spacing w:after="0"/>
            </w:pPr>
            <w:r w:rsidRPr="00CB45C3">
              <w:t>- (beeld)maaien van zichtvlakken, bermstroken en wegvakken 62 weken (23.570 are areaalopp.);</w:t>
            </w:r>
          </w:p>
        </w:tc>
      </w:tr>
      <w:tr w:rsidR="00CB45C3" w:rsidRPr="00CB45C3" w14:paraId="100C121F" w14:textId="77777777" w:rsidTr="00CB45C3">
        <w:tc>
          <w:tcPr>
            <w:tcW w:w="1003" w:type="dxa"/>
          </w:tcPr>
          <w:p w14:paraId="58A4E038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483ABA5B" w14:textId="25192C6E" w:rsidR="00CB45C3" w:rsidRPr="00CB45C3" w:rsidRDefault="00CB45C3" w:rsidP="000E0FEC">
            <w:pPr>
              <w:spacing w:after="0"/>
            </w:pPr>
            <w:r w:rsidRPr="00CB45C3">
              <w:t>- uitmaaien van watergangen ca. 538.240 m1;</w:t>
            </w:r>
          </w:p>
        </w:tc>
      </w:tr>
      <w:tr w:rsidR="00CB45C3" w:rsidRPr="00CB45C3" w14:paraId="68353F3C" w14:textId="77777777" w:rsidTr="00CB45C3">
        <w:tc>
          <w:tcPr>
            <w:tcW w:w="1003" w:type="dxa"/>
          </w:tcPr>
          <w:p w14:paraId="1ECCAA9A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2CB99FD3" w14:textId="51CA2BD0" w:rsidR="00CB45C3" w:rsidRPr="00CB45C3" w:rsidRDefault="00CB45C3" w:rsidP="000E0FEC">
            <w:pPr>
              <w:spacing w:after="0"/>
            </w:pPr>
            <w:r w:rsidRPr="00CB45C3">
              <w:t xml:space="preserve">- afzetten </w:t>
            </w:r>
            <w:proofErr w:type="spellStart"/>
            <w:r w:rsidRPr="00CB45C3">
              <w:t>stamvoetopschot</w:t>
            </w:r>
            <w:proofErr w:type="spellEnd"/>
            <w:r w:rsidRPr="00CB45C3">
              <w:t xml:space="preserve"> ca. 1.628 st.;</w:t>
            </w:r>
          </w:p>
        </w:tc>
      </w:tr>
      <w:tr w:rsidR="00CB45C3" w:rsidRPr="00CB45C3" w14:paraId="42FF75E6" w14:textId="77777777" w:rsidTr="00CB45C3">
        <w:tc>
          <w:tcPr>
            <w:tcW w:w="1003" w:type="dxa"/>
          </w:tcPr>
          <w:p w14:paraId="48B49A1B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5388D27A" w14:textId="53FF98B6" w:rsidR="00CB45C3" w:rsidRPr="00CB45C3" w:rsidRDefault="00CB45C3" w:rsidP="000E0FEC">
            <w:pPr>
              <w:spacing w:after="0"/>
            </w:pPr>
            <w:r w:rsidRPr="00CB45C3">
              <w:t>- knippen van hagen ca. 648.680 m2;</w:t>
            </w:r>
          </w:p>
        </w:tc>
      </w:tr>
      <w:tr w:rsidR="00CB45C3" w:rsidRPr="00CB45C3" w14:paraId="134F1157" w14:textId="77777777" w:rsidTr="00CB45C3">
        <w:tc>
          <w:tcPr>
            <w:tcW w:w="1003" w:type="dxa"/>
          </w:tcPr>
          <w:p w14:paraId="682B312C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5C0A5440" w14:textId="0F926945" w:rsidR="00CB45C3" w:rsidRPr="00CB45C3" w:rsidRDefault="00CB45C3" w:rsidP="000E0FEC">
            <w:pPr>
              <w:spacing w:after="0"/>
            </w:pPr>
            <w:r w:rsidRPr="00CB45C3">
              <w:t>- ruimen van blad ca. 35.100 are;</w:t>
            </w:r>
          </w:p>
        </w:tc>
      </w:tr>
      <w:tr w:rsidR="00CB45C3" w:rsidRPr="00CB45C3" w14:paraId="576E3039" w14:textId="77777777" w:rsidTr="00CB45C3">
        <w:tc>
          <w:tcPr>
            <w:tcW w:w="1003" w:type="dxa"/>
          </w:tcPr>
          <w:p w14:paraId="720618F7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6EF8BCC1" w14:textId="7EDD25CC" w:rsidR="00CB45C3" w:rsidRPr="00CB45C3" w:rsidRDefault="00CB45C3" w:rsidP="000E0FEC">
            <w:pPr>
              <w:spacing w:after="0"/>
            </w:pPr>
            <w:r w:rsidRPr="00CB45C3">
              <w:t>- uitvoeren flora- en fauna-inventarisaties 4 keer (1x per perceel/jaar);</w:t>
            </w:r>
          </w:p>
        </w:tc>
      </w:tr>
      <w:tr w:rsidR="00CB45C3" w:rsidRPr="00CB45C3" w14:paraId="371ECC44" w14:textId="77777777" w:rsidTr="00CB45C3">
        <w:tc>
          <w:tcPr>
            <w:tcW w:w="1003" w:type="dxa"/>
          </w:tcPr>
          <w:p w14:paraId="4469644E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1A39D14A" w14:textId="050009FC" w:rsidR="00CB45C3" w:rsidRPr="00CB45C3" w:rsidRDefault="00CB45C3" w:rsidP="000E0FEC">
            <w:pPr>
              <w:spacing w:after="0"/>
            </w:pPr>
            <w:r w:rsidRPr="00CB45C3">
              <w:t>- ter beschikking stellen div. materieel ca. 1.340 uur;</w:t>
            </w:r>
          </w:p>
        </w:tc>
      </w:tr>
      <w:tr w:rsidR="00CB45C3" w:rsidRPr="00CB45C3" w14:paraId="3BFE5568" w14:textId="77777777" w:rsidTr="00CB45C3">
        <w:tc>
          <w:tcPr>
            <w:tcW w:w="1003" w:type="dxa"/>
          </w:tcPr>
          <w:p w14:paraId="0F7B3BEA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05B64193" w14:textId="6D8BBA39" w:rsidR="00CB45C3" w:rsidRPr="00CB45C3" w:rsidRDefault="00CB45C3" w:rsidP="000E0FEC">
            <w:pPr>
              <w:spacing w:after="0"/>
            </w:pPr>
            <w:r w:rsidRPr="00CB45C3">
              <w:t>- ter beschikking stellen werknemers ca. 2.240 uur;</w:t>
            </w:r>
          </w:p>
        </w:tc>
      </w:tr>
      <w:tr w:rsidR="00CB45C3" w:rsidRPr="00CB45C3" w14:paraId="74E3C935" w14:textId="77777777" w:rsidTr="00CB45C3">
        <w:tc>
          <w:tcPr>
            <w:tcW w:w="1003" w:type="dxa"/>
          </w:tcPr>
          <w:p w14:paraId="169CD298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1947DC86" w14:textId="76BD87E6" w:rsidR="00CB45C3" w:rsidRPr="00CB45C3" w:rsidRDefault="00CB45C3" w:rsidP="000E0FEC">
            <w:pPr>
              <w:spacing w:after="0"/>
            </w:pPr>
            <w:r w:rsidRPr="00CB45C3">
              <w:t>- treffen tijdelijke verkeersmaatregelen; euro's.</w:t>
            </w:r>
          </w:p>
        </w:tc>
      </w:tr>
      <w:tr w:rsidR="00CB45C3" w:rsidRPr="00CB45C3" w14:paraId="622280E8" w14:textId="77777777" w:rsidTr="00CB45C3">
        <w:tc>
          <w:tcPr>
            <w:tcW w:w="1003" w:type="dxa"/>
          </w:tcPr>
          <w:p w14:paraId="1F9E7CFE" w14:textId="59FF37E5" w:rsidR="00CB45C3" w:rsidRPr="00CB45C3" w:rsidRDefault="00CB45C3" w:rsidP="000E0FEC">
            <w:pPr>
              <w:spacing w:after="0"/>
            </w:pPr>
            <w:r w:rsidRPr="00CB45C3">
              <w:t>II.2.2)</w:t>
            </w:r>
          </w:p>
        </w:tc>
        <w:tc>
          <w:tcPr>
            <w:tcW w:w="7512" w:type="dxa"/>
          </w:tcPr>
          <w:p w14:paraId="1E2DE7CE" w14:textId="5509CAF3" w:rsidR="00CB45C3" w:rsidRPr="00CB45C3" w:rsidRDefault="00CB45C3" w:rsidP="000E0FEC">
            <w:pPr>
              <w:spacing w:after="0"/>
            </w:pPr>
            <w:r w:rsidRPr="00CB45C3">
              <w:t>Opties:</w:t>
            </w:r>
          </w:p>
        </w:tc>
      </w:tr>
      <w:tr w:rsidR="00CB45C3" w:rsidRPr="00CB45C3" w14:paraId="165B8A6D" w14:textId="77777777" w:rsidTr="00CB45C3">
        <w:tc>
          <w:tcPr>
            <w:tcW w:w="1003" w:type="dxa"/>
          </w:tcPr>
          <w:p w14:paraId="5EB35451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20B68D68" w14:textId="73BB9E79" w:rsidR="00CB45C3" w:rsidRPr="00CB45C3" w:rsidRDefault="00CB45C3" w:rsidP="000E0FEC">
            <w:pPr>
              <w:spacing w:after="0"/>
            </w:pPr>
            <w:r w:rsidRPr="00CB45C3">
              <w:t>Neen.</w:t>
            </w:r>
          </w:p>
        </w:tc>
      </w:tr>
      <w:tr w:rsidR="00CB45C3" w:rsidRPr="00CB45C3" w14:paraId="3455DC13" w14:textId="77777777" w:rsidTr="00CB45C3">
        <w:tc>
          <w:tcPr>
            <w:tcW w:w="1003" w:type="dxa"/>
          </w:tcPr>
          <w:p w14:paraId="1D6B8CAF" w14:textId="16609148" w:rsidR="00CB45C3" w:rsidRPr="00CB45C3" w:rsidRDefault="00CB45C3" w:rsidP="000E0FEC">
            <w:pPr>
              <w:spacing w:after="0"/>
            </w:pPr>
            <w:r w:rsidRPr="00CB45C3">
              <w:t>II.3)</w:t>
            </w:r>
          </w:p>
        </w:tc>
        <w:tc>
          <w:tcPr>
            <w:tcW w:w="7512" w:type="dxa"/>
          </w:tcPr>
          <w:p w14:paraId="4200D0C5" w14:textId="7FBB6BC2" w:rsidR="00CB45C3" w:rsidRPr="00CB45C3" w:rsidRDefault="00CB45C3" w:rsidP="000E0FEC">
            <w:pPr>
              <w:spacing w:after="0"/>
            </w:pPr>
            <w:r w:rsidRPr="00CB45C3">
              <w:t>LOOPTIJD OF UITVOERINGSTERMIJN VAN DE OPDRACHT:</w:t>
            </w:r>
          </w:p>
        </w:tc>
      </w:tr>
      <w:tr w:rsidR="00CB45C3" w:rsidRPr="00CB45C3" w14:paraId="2EBD9E5F" w14:textId="77777777" w:rsidTr="00CB45C3">
        <w:tc>
          <w:tcPr>
            <w:tcW w:w="1003" w:type="dxa"/>
          </w:tcPr>
          <w:p w14:paraId="0B3F2C46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119225B7" w14:textId="5421EF94" w:rsidR="00CB45C3" w:rsidRPr="00CB45C3" w:rsidRDefault="00CB45C3" w:rsidP="000E0FEC">
            <w:pPr>
              <w:spacing w:after="0"/>
            </w:pPr>
            <w:r w:rsidRPr="00CB45C3">
              <w:t>Begin: 25/03/2013.</w:t>
            </w:r>
          </w:p>
        </w:tc>
      </w:tr>
      <w:tr w:rsidR="00CB45C3" w:rsidRPr="00CB45C3" w14:paraId="6D994397" w14:textId="77777777" w:rsidTr="00CB45C3">
        <w:tc>
          <w:tcPr>
            <w:tcW w:w="1003" w:type="dxa"/>
          </w:tcPr>
          <w:p w14:paraId="50466E9B" w14:textId="77777777" w:rsidR="00CB45C3" w:rsidRPr="00CB45C3" w:rsidRDefault="00CB45C3" w:rsidP="000E0FEC">
            <w:pPr>
              <w:spacing w:after="0"/>
            </w:pPr>
          </w:p>
        </w:tc>
        <w:tc>
          <w:tcPr>
            <w:tcW w:w="7512" w:type="dxa"/>
          </w:tcPr>
          <w:p w14:paraId="390E1DC8" w14:textId="34F0F594" w:rsidR="00CB45C3" w:rsidRPr="00CB45C3" w:rsidRDefault="00CB45C3" w:rsidP="000E0FEC">
            <w:pPr>
              <w:spacing w:after="0"/>
            </w:pPr>
            <w:r w:rsidRPr="00CB45C3">
              <w:t>Voltooiing: 31/01/2015.</w:t>
            </w:r>
          </w:p>
        </w:tc>
      </w:tr>
    </w:tbl>
    <w:p w14:paraId="363ED403" w14:textId="216402F1" w:rsidR="00055B21" w:rsidRPr="00CB45C3" w:rsidRDefault="00055B21" w:rsidP="00CB45C3">
      <w:pPr>
        <w:spacing w:before="60" w:after="60"/>
      </w:pPr>
    </w:p>
    <w:p w14:paraId="0DEA16AC" w14:textId="2C6067FC" w:rsidR="00055B21" w:rsidRPr="00CB45C3" w:rsidRDefault="00055B21" w:rsidP="00CB45C3">
      <w:pPr>
        <w:spacing w:before="60" w:after="60"/>
      </w:pPr>
    </w:p>
    <w:p w14:paraId="5D639A8D" w14:textId="54C3CDDD" w:rsidR="00055B21" w:rsidRPr="00CB45C3" w:rsidRDefault="00055B21" w:rsidP="00CB45C3">
      <w:pPr>
        <w:spacing w:before="60" w:after="60"/>
      </w:pPr>
    </w:p>
    <w:p w14:paraId="0850C522" w14:textId="11AD2C80" w:rsidR="00055B21" w:rsidRPr="00055B21" w:rsidRDefault="00055B21" w:rsidP="00055B21"/>
    <w:sectPr w:rsidR="00055B21" w:rsidRPr="00055B21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nt336"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47C"/>
    <w:multiLevelType w:val="hybridMultilevel"/>
    <w:tmpl w:val="598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606DB1"/>
    <w:multiLevelType w:val="hybridMultilevel"/>
    <w:tmpl w:val="DA3E0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5B262E"/>
    <w:multiLevelType w:val="hybridMultilevel"/>
    <w:tmpl w:val="5F5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62"/>
    <w:rsid w:val="0003550F"/>
    <w:rsid w:val="000470E7"/>
    <w:rsid w:val="00055B21"/>
    <w:rsid w:val="000928A0"/>
    <w:rsid w:val="000B1A1C"/>
    <w:rsid w:val="000E0FEC"/>
    <w:rsid w:val="00165D01"/>
    <w:rsid w:val="00181B85"/>
    <w:rsid w:val="002318BE"/>
    <w:rsid w:val="002C1277"/>
    <w:rsid w:val="00322D62"/>
    <w:rsid w:val="003E0B63"/>
    <w:rsid w:val="003E4E22"/>
    <w:rsid w:val="00410692"/>
    <w:rsid w:val="00463771"/>
    <w:rsid w:val="004A0537"/>
    <w:rsid w:val="004B1334"/>
    <w:rsid w:val="005B4BDF"/>
    <w:rsid w:val="006650AB"/>
    <w:rsid w:val="007712CB"/>
    <w:rsid w:val="008F5DC3"/>
    <w:rsid w:val="00924EFF"/>
    <w:rsid w:val="00B15BC5"/>
    <w:rsid w:val="00CB45C3"/>
    <w:rsid w:val="00D2031B"/>
    <w:rsid w:val="00D36958"/>
    <w:rsid w:val="00E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2F1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font336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3550F"/>
    <w:pPr>
      <w:spacing w:after="120"/>
    </w:pPr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231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322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322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jstalinea">
    <w:name w:val="List Paragraph"/>
    <w:basedOn w:val="Normaal"/>
    <w:uiPriority w:val="34"/>
    <w:qFormat/>
    <w:rsid w:val="000470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50A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B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2318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paragraph" w:styleId="Titel">
    <w:name w:val="Title"/>
    <w:basedOn w:val="Normaal"/>
    <w:next w:val="Normaal"/>
    <w:link w:val="TitelTeken"/>
    <w:uiPriority w:val="10"/>
    <w:qFormat/>
    <w:rsid w:val="002318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231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0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font336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3550F"/>
    <w:pPr>
      <w:spacing w:after="120"/>
    </w:pPr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231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322D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322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jstalinea">
    <w:name w:val="List Paragraph"/>
    <w:basedOn w:val="Normaal"/>
    <w:uiPriority w:val="34"/>
    <w:qFormat/>
    <w:rsid w:val="000470E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50A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B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2318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paragraph" w:styleId="Titel">
    <w:name w:val="Title"/>
    <w:basedOn w:val="Normaal"/>
    <w:next w:val="Normaal"/>
    <w:link w:val="TitelTeken"/>
    <w:uiPriority w:val="10"/>
    <w:qFormat/>
    <w:rsid w:val="002318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231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0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anbestedingskalender.nl/download.aspx?id=f7ac83f3-70e7-47f3-bace-5250b4557d7a&amp;ext=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1268</Words>
  <Characters>6978</Characters>
  <Application>Microsoft Macintosh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18</cp:revision>
  <dcterms:created xsi:type="dcterms:W3CDTF">2013-01-23T20:35:00Z</dcterms:created>
  <dcterms:modified xsi:type="dcterms:W3CDTF">2013-01-26T16:29:00Z</dcterms:modified>
</cp:coreProperties>
</file>